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D20050">
        <w:rPr>
          <w:sz w:val="28"/>
        </w:rPr>
        <w:t>8</w:t>
      </w:r>
    </w:p>
    <w:p w:rsidR="00DD0C37" w:rsidRPr="003B33CF" w:rsidRDefault="00D20050" w:rsidP="003B33CF">
      <w:pPr>
        <w:pStyle w:val="IntenseQuote"/>
        <w:rPr>
          <w:sz w:val="28"/>
        </w:rPr>
      </w:pPr>
      <w:r>
        <w:rPr>
          <w:sz w:val="28"/>
        </w:rPr>
        <w:t>Third Party Billing and Posting to Student Accounts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7F40F2"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7F40F2" w:rsidRPr="00F201CE">
        <w:rPr>
          <w:rFonts w:ascii="Arial" w:hAnsi="Arial" w:cs="Arial"/>
          <w:noProof/>
        </w:rPr>
        <w:t>Introduction</w:t>
      </w:r>
      <w:r w:rsidR="007F40F2">
        <w:rPr>
          <w:noProof/>
        </w:rPr>
        <w:tab/>
      </w:r>
      <w:r w:rsidR="007F40F2">
        <w:rPr>
          <w:noProof/>
        </w:rPr>
        <w:fldChar w:fldCharType="begin"/>
      </w:r>
      <w:r w:rsidR="007F40F2">
        <w:rPr>
          <w:noProof/>
        </w:rPr>
        <w:instrText xml:space="preserve"> PAGEREF _Toc421809314 \h </w:instrText>
      </w:r>
      <w:r w:rsidR="007F40F2">
        <w:rPr>
          <w:noProof/>
        </w:rPr>
      </w:r>
      <w:r w:rsidR="007F40F2">
        <w:rPr>
          <w:noProof/>
        </w:rPr>
        <w:fldChar w:fldCharType="separate"/>
      </w:r>
      <w:r w:rsidR="007F40F2">
        <w:rPr>
          <w:noProof/>
        </w:rPr>
        <w:t>3</w:t>
      </w:r>
      <w:r w:rsidR="007F40F2">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DITL Checklist</w:t>
      </w:r>
      <w:r>
        <w:rPr>
          <w:noProof/>
        </w:rPr>
        <w:tab/>
      </w:r>
      <w:r>
        <w:rPr>
          <w:noProof/>
        </w:rPr>
        <w:fldChar w:fldCharType="begin"/>
      </w:r>
      <w:r>
        <w:rPr>
          <w:noProof/>
        </w:rPr>
        <w:instrText xml:space="preserve"> PAGEREF _Toc421809315 \h </w:instrText>
      </w:r>
      <w:r>
        <w:rPr>
          <w:noProof/>
        </w:rPr>
      </w:r>
      <w:r>
        <w:rPr>
          <w:noProof/>
        </w:rPr>
        <w:fldChar w:fldCharType="separate"/>
      </w:r>
      <w:r>
        <w:rPr>
          <w:noProof/>
        </w:rPr>
        <w:t>3</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Primary Function</w:t>
      </w:r>
      <w:r>
        <w:rPr>
          <w:noProof/>
        </w:rPr>
        <w:tab/>
      </w:r>
      <w:r>
        <w:rPr>
          <w:noProof/>
        </w:rPr>
        <w:fldChar w:fldCharType="begin"/>
      </w:r>
      <w:r>
        <w:rPr>
          <w:noProof/>
        </w:rPr>
        <w:instrText xml:space="preserve"> PAGEREF _Toc421809316 \h </w:instrText>
      </w:r>
      <w:r>
        <w:rPr>
          <w:noProof/>
        </w:rPr>
      </w:r>
      <w:r>
        <w:rPr>
          <w:noProof/>
        </w:rPr>
        <w:fldChar w:fldCharType="separate"/>
      </w:r>
      <w:r>
        <w:rPr>
          <w:noProof/>
        </w:rPr>
        <w:t>4</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College</w:t>
      </w:r>
      <w:r>
        <w:rPr>
          <w:noProof/>
        </w:rPr>
        <w:tab/>
      </w:r>
      <w:r>
        <w:rPr>
          <w:noProof/>
        </w:rPr>
        <w:fldChar w:fldCharType="begin"/>
      </w:r>
      <w:r>
        <w:rPr>
          <w:noProof/>
        </w:rPr>
        <w:instrText xml:space="preserve"> PAGEREF _Toc421809317 \h </w:instrText>
      </w:r>
      <w:r>
        <w:rPr>
          <w:noProof/>
        </w:rPr>
      </w:r>
      <w:r>
        <w:rPr>
          <w:noProof/>
        </w:rPr>
        <w:fldChar w:fldCharType="separate"/>
      </w:r>
      <w:r>
        <w:rPr>
          <w:noProof/>
        </w:rPr>
        <w:t>4</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Primary Function Lead</w:t>
      </w:r>
      <w:r>
        <w:rPr>
          <w:noProof/>
        </w:rPr>
        <w:tab/>
      </w:r>
      <w:r>
        <w:rPr>
          <w:noProof/>
        </w:rPr>
        <w:fldChar w:fldCharType="begin"/>
      </w:r>
      <w:r>
        <w:rPr>
          <w:noProof/>
        </w:rPr>
        <w:instrText xml:space="preserve"> PAGEREF _Toc421809318 \h </w:instrText>
      </w:r>
      <w:r>
        <w:rPr>
          <w:noProof/>
        </w:rPr>
      </w:r>
      <w:r>
        <w:rPr>
          <w:noProof/>
        </w:rPr>
        <w:fldChar w:fldCharType="separate"/>
      </w:r>
      <w:r>
        <w:rPr>
          <w:noProof/>
        </w:rPr>
        <w:t>4</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Roles Involved</w:t>
      </w:r>
      <w:r>
        <w:rPr>
          <w:noProof/>
        </w:rPr>
        <w:tab/>
      </w:r>
      <w:r>
        <w:rPr>
          <w:noProof/>
        </w:rPr>
        <w:fldChar w:fldCharType="begin"/>
      </w:r>
      <w:r>
        <w:rPr>
          <w:noProof/>
        </w:rPr>
        <w:instrText xml:space="preserve"> PAGEREF _Toc421809319 \h </w:instrText>
      </w:r>
      <w:r>
        <w:rPr>
          <w:noProof/>
        </w:rPr>
      </w:r>
      <w:r>
        <w:rPr>
          <w:noProof/>
        </w:rPr>
        <w:fldChar w:fldCharType="separate"/>
      </w:r>
      <w:r>
        <w:rPr>
          <w:noProof/>
        </w:rPr>
        <w:t>4</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Testers</w:t>
      </w:r>
      <w:r>
        <w:rPr>
          <w:noProof/>
        </w:rPr>
        <w:tab/>
      </w:r>
      <w:r>
        <w:rPr>
          <w:noProof/>
        </w:rPr>
        <w:fldChar w:fldCharType="begin"/>
      </w:r>
      <w:r>
        <w:rPr>
          <w:noProof/>
        </w:rPr>
        <w:instrText xml:space="preserve"> PAGEREF _Toc421809320 \h </w:instrText>
      </w:r>
      <w:r>
        <w:rPr>
          <w:noProof/>
        </w:rPr>
      </w:r>
      <w:r>
        <w:rPr>
          <w:noProof/>
        </w:rPr>
        <w:fldChar w:fldCharType="separate"/>
      </w:r>
      <w:r>
        <w:rPr>
          <w:noProof/>
        </w:rPr>
        <w:t>4</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Test Data</w:t>
      </w:r>
      <w:r>
        <w:rPr>
          <w:noProof/>
        </w:rPr>
        <w:tab/>
      </w:r>
      <w:r>
        <w:rPr>
          <w:noProof/>
        </w:rPr>
        <w:fldChar w:fldCharType="begin"/>
      </w:r>
      <w:r>
        <w:rPr>
          <w:noProof/>
        </w:rPr>
        <w:instrText xml:space="preserve"> PAGEREF _Toc421809321 \h </w:instrText>
      </w:r>
      <w:r>
        <w:rPr>
          <w:noProof/>
        </w:rPr>
      </w:r>
      <w:r>
        <w:rPr>
          <w:noProof/>
        </w:rPr>
        <w:fldChar w:fldCharType="separate"/>
      </w:r>
      <w:r>
        <w:rPr>
          <w:noProof/>
        </w:rPr>
        <w:t>5</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Logistics</w:t>
      </w:r>
      <w:r>
        <w:rPr>
          <w:noProof/>
        </w:rPr>
        <w:tab/>
      </w:r>
      <w:r>
        <w:rPr>
          <w:noProof/>
        </w:rPr>
        <w:fldChar w:fldCharType="begin"/>
      </w:r>
      <w:r>
        <w:rPr>
          <w:noProof/>
        </w:rPr>
        <w:instrText xml:space="preserve"> PAGEREF _Toc421809322 \h </w:instrText>
      </w:r>
      <w:r>
        <w:rPr>
          <w:noProof/>
        </w:rPr>
      </w:r>
      <w:r>
        <w:rPr>
          <w:noProof/>
        </w:rPr>
        <w:fldChar w:fldCharType="separate"/>
      </w:r>
      <w:r>
        <w:rPr>
          <w:noProof/>
        </w:rPr>
        <w:t>5</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Test Execution</w:t>
      </w:r>
      <w:r>
        <w:rPr>
          <w:noProof/>
        </w:rPr>
        <w:tab/>
      </w:r>
      <w:r>
        <w:rPr>
          <w:noProof/>
        </w:rPr>
        <w:fldChar w:fldCharType="begin"/>
      </w:r>
      <w:r>
        <w:rPr>
          <w:noProof/>
        </w:rPr>
        <w:instrText xml:space="preserve"> PAGEREF _Toc421809323 \h </w:instrText>
      </w:r>
      <w:r>
        <w:rPr>
          <w:noProof/>
        </w:rPr>
      </w:r>
      <w:r>
        <w:rPr>
          <w:noProof/>
        </w:rPr>
        <w:fldChar w:fldCharType="separate"/>
      </w:r>
      <w:r>
        <w:rPr>
          <w:noProof/>
        </w:rPr>
        <w:t>6</w:t>
      </w:r>
      <w:r>
        <w:rPr>
          <w:noProof/>
        </w:rPr>
        <w:fldChar w:fldCharType="end"/>
      </w:r>
    </w:p>
    <w:p w:rsidR="007F40F2" w:rsidRDefault="007F40F2">
      <w:pPr>
        <w:pStyle w:val="TOC2"/>
        <w:rPr>
          <w:rFonts w:asciiTheme="minorHAnsi" w:eastAsiaTheme="minorEastAsia" w:hAnsiTheme="minorHAnsi" w:cstheme="minorBidi"/>
          <w:noProof/>
          <w:sz w:val="22"/>
          <w:szCs w:val="22"/>
        </w:rPr>
      </w:pPr>
      <w:r w:rsidRPr="00F201CE">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_Toc421809324 \h </w:instrText>
      </w:r>
      <w:r>
        <w:rPr>
          <w:noProof/>
        </w:rPr>
      </w:r>
      <w:r>
        <w:rPr>
          <w:noProof/>
        </w:rPr>
        <w:fldChar w:fldCharType="separate"/>
      </w:r>
      <w:r>
        <w:rPr>
          <w:noProof/>
        </w:rPr>
        <w:t>7</w:t>
      </w:r>
      <w:r>
        <w:rPr>
          <w:noProof/>
        </w:rPr>
        <w:fldChar w:fldCharType="end"/>
      </w:r>
    </w:p>
    <w:p w:rsidR="007F40F2" w:rsidRDefault="007F40F2">
      <w:pPr>
        <w:pStyle w:val="TOC3"/>
        <w:rPr>
          <w:rFonts w:asciiTheme="minorHAnsi" w:eastAsiaTheme="minorEastAsia" w:hAnsiTheme="minorHAnsi" w:cstheme="minorBidi"/>
          <w:noProof/>
          <w:sz w:val="22"/>
          <w:szCs w:val="22"/>
        </w:rPr>
      </w:pPr>
      <w:r w:rsidRPr="00F201CE">
        <w:rPr>
          <w:rFonts w:ascii="Arial" w:hAnsi="Arial" w:cs="Arial"/>
          <w:noProof/>
        </w:rPr>
        <w:t>Third Party Billing and Posting to Student Accounts</w:t>
      </w:r>
      <w:r>
        <w:rPr>
          <w:noProof/>
        </w:rPr>
        <w:tab/>
      </w:r>
      <w:r>
        <w:rPr>
          <w:noProof/>
        </w:rPr>
        <w:fldChar w:fldCharType="begin"/>
      </w:r>
      <w:r>
        <w:rPr>
          <w:noProof/>
        </w:rPr>
        <w:instrText xml:space="preserve"> PAGEREF _Toc421809325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09314"/>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09315"/>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09316"/>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D20050" w:rsidP="00694057">
            <w:pPr>
              <w:pStyle w:val="BodyText"/>
              <w:ind w:left="0"/>
              <w:rPr>
                <w:rFonts w:ascii="Arial" w:hAnsi="Arial" w:cs="Arial"/>
                <w:b/>
              </w:rPr>
            </w:pPr>
            <w:r>
              <w:rPr>
                <w:rFonts w:ascii="Arial" w:hAnsi="Arial" w:cs="Arial"/>
                <w:b/>
              </w:rPr>
              <w:t>Third Party Billing and Posting to Student Accounts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09317"/>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09318"/>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09319"/>
      <w:r>
        <w:rPr>
          <w:rFonts w:ascii="Arial" w:hAnsi="Arial" w:cs="Arial"/>
        </w:rPr>
        <w:t>Roles Involved</w:t>
      </w:r>
      <w:bookmarkEnd w:id="16"/>
    </w:p>
    <w:p w:rsidR="00315EB4" w:rsidRDefault="00D20050" w:rsidP="00703D27">
      <w:pPr>
        <w:numPr>
          <w:ilvl w:val="0"/>
          <w:numId w:val="2"/>
        </w:numPr>
        <w:tabs>
          <w:tab w:val="clear" w:pos="360"/>
          <w:tab w:val="num" w:pos="2880"/>
        </w:tabs>
        <w:ind w:left="2880"/>
        <w:rPr>
          <w:rFonts w:ascii="Arial" w:hAnsi="Arial" w:cs="Arial"/>
        </w:rPr>
      </w:pPr>
      <w:r>
        <w:rPr>
          <w:rFonts w:ascii="Arial" w:hAnsi="Arial" w:cs="Arial"/>
        </w:rPr>
        <w:t>Financial Aid Program Coordinator</w:t>
      </w:r>
    </w:p>
    <w:p w:rsidR="00D20050" w:rsidRDefault="00D20050" w:rsidP="00703D27">
      <w:pPr>
        <w:numPr>
          <w:ilvl w:val="0"/>
          <w:numId w:val="2"/>
        </w:numPr>
        <w:tabs>
          <w:tab w:val="clear" w:pos="360"/>
          <w:tab w:val="num" w:pos="2880"/>
        </w:tabs>
        <w:ind w:left="2880"/>
        <w:rPr>
          <w:rFonts w:ascii="Arial" w:hAnsi="Arial" w:cs="Arial"/>
        </w:rPr>
      </w:pPr>
      <w:r>
        <w:rPr>
          <w:rFonts w:ascii="Arial" w:hAnsi="Arial" w:cs="Arial"/>
        </w:rPr>
        <w:t>Bursar</w:t>
      </w:r>
    </w:p>
    <w:p w:rsidR="00D20050" w:rsidRDefault="00D20050" w:rsidP="00703D27">
      <w:pPr>
        <w:numPr>
          <w:ilvl w:val="0"/>
          <w:numId w:val="2"/>
        </w:numPr>
        <w:tabs>
          <w:tab w:val="clear" w:pos="360"/>
          <w:tab w:val="num" w:pos="2880"/>
        </w:tabs>
        <w:ind w:left="2880"/>
        <w:rPr>
          <w:rFonts w:ascii="Arial" w:hAnsi="Arial" w:cs="Arial"/>
        </w:rPr>
      </w:pPr>
      <w:r>
        <w:rPr>
          <w:rFonts w:ascii="Arial" w:hAnsi="Arial" w:cs="Arial"/>
        </w:rPr>
        <w:t>Cashier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09320"/>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09321"/>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D20050">
        <w:rPr>
          <w:rFonts w:ascii="Arial" w:hAnsi="Arial" w:cs="Arial"/>
          <w:i/>
          <w:szCs w:val="24"/>
        </w:rPr>
        <w:t>Process bills for various billing IDs and external org IDs with one due date for a specific term.</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09322"/>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AC2499" w:rsidRPr="009B1C1D" w:rsidRDefault="00AC2499" w:rsidP="00AC2499">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7F40F2" w:rsidP="00DD0C37">
            <w:pPr>
              <w:jc w:val="both"/>
              <w:rPr>
                <w:rFonts w:ascii="Arial" w:hAnsi="Arial" w:cs="Arial"/>
                <w:szCs w:val="24"/>
              </w:rPr>
            </w:pPr>
            <w:r>
              <w:rPr>
                <w:rFonts w:ascii="Arial" w:hAnsi="Arial" w:cs="Arial"/>
                <w:szCs w:val="24"/>
              </w:rPr>
              <w:t>Third Party Payments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7F40F2" w:rsidP="00DD0C37">
            <w:pPr>
              <w:jc w:val="both"/>
              <w:rPr>
                <w:rFonts w:ascii="Arial" w:hAnsi="Arial" w:cs="Arial"/>
                <w:szCs w:val="24"/>
              </w:rPr>
            </w:pPr>
            <w:r>
              <w:rPr>
                <w:rFonts w:ascii="Arial" w:hAnsi="Arial" w:cs="Arial"/>
                <w:szCs w:val="24"/>
              </w:rPr>
              <w:t>Billing Information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7F40F2" w:rsidP="00DD0C37">
            <w:pPr>
              <w:jc w:val="both"/>
              <w:rPr>
                <w:rFonts w:ascii="Arial" w:hAnsi="Arial" w:cs="Arial"/>
                <w:szCs w:val="24"/>
              </w:rPr>
            </w:pPr>
            <w:r>
              <w:rPr>
                <w:rFonts w:ascii="Arial" w:hAnsi="Arial" w:cs="Arial"/>
                <w:szCs w:val="24"/>
              </w:rPr>
              <w:t>Student Account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09323"/>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09324"/>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7F40F2" w:rsidP="00832B9D">
      <w:pPr>
        <w:pStyle w:val="Heading3"/>
        <w:rPr>
          <w:rFonts w:ascii="Arial" w:hAnsi="Arial" w:cs="Arial"/>
          <w:sz w:val="20"/>
        </w:rPr>
      </w:pPr>
      <w:bookmarkStart w:id="22" w:name="_Toc421809325"/>
      <w:r>
        <w:rPr>
          <w:rFonts w:ascii="Arial" w:hAnsi="Arial" w:cs="Arial"/>
          <w:sz w:val="20"/>
        </w:rPr>
        <w:t>Third Party Billing and Posting to Student Accounts</w:t>
      </w:r>
      <w:bookmarkEnd w:id="22"/>
    </w:p>
    <w:p w:rsidR="008C6A90" w:rsidRDefault="008C6A90" w:rsidP="008C6A90">
      <w:pPr>
        <w:pStyle w:val="BodyText"/>
      </w:pPr>
    </w:p>
    <w:tbl>
      <w:tblPr>
        <w:tblW w:w="14080" w:type="dxa"/>
        <w:tblInd w:w="93" w:type="dxa"/>
        <w:tblLook w:val="04A0" w:firstRow="1" w:lastRow="0" w:firstColumn="1" w:lastColumn="0" w:noHBand="0" w:noVBand="1"/>
      </w:tblPr>
      <w:tblGrid>
        <w:gridCol w:w="623"/>
        <w:gridCol w:w="849"/>
        <w:gridCol w:w="1754"/>
        <w:gridCol w:w="1235"/>
        <w:gridCol w:w="1240"/>
        <w:gridCol w:w="1235"/>
        <w:gridCol w:w="5464"/>
        <w:gridCol w:w="1680"/>
      </w:tblGrid>
      <w:tr w:rsidR="007F40F2" w:rsidRPr="007F40F2" w:rsidTr="007F40F2">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Pillar</w:t>
            </w:r>
          </w:p>
        </w:tc>
        <w:tc>
          <w:tcPr>
            <w:tcW w:w="820"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Module</w:t>
            </w:r>
          </w:p>
        </w:tc>
        <w:tc>
          <w:tcPr>
            <w:tcW w:w="1760" w:type="dxa"/>
            <w:tcBorders>
              <w:top w:val="single" w:sz="4" w:space="0" w:color="auto"/>
              <w:left w:val="nil"/>
              <w:bottom w:val="single" w:sz="4" w:space="0" w:color="auto"/>
              <w:right w:val="nil"/>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Security Role Listed on BPD</w:t>
            </w:r>
          </w:p>
        </w:tc>
        <w:tc>
          <w:tcPr>
            <w:tcW w:w="12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DITL Predecessor Script ID</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DITL Script ID</w:t>
            </w:r>
          </w:p>
        </w:tc>
        <w:tc>
          <w:tcPr>
            <w:tcW w:w="5500"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7F40F2" w:rsidRPr="007F40F2" w:rsidRDefault="007F40F2" w:rsidP="007F40F2">
            <w:pPr>
              <w:overflowPunct/>
              <w:autoSpaceDE/>
              <w:autoSpaceDN/>
              <w:adjustRightInd/>
              <w:jc w:val="center"/>
              <w:textAlignment w:val="auto"/>
              <w:rPr>
                <w:rFonts w:ascii="Calibri" w:hAnsi="Calibri"/>
              </w:rPr>
            </w:pPr>
            <w:r w:rsidRPr="007F40F2">
              <w:rPr>
                <w:rFonts w:ascii="Calibri" w:hAnsi="Calibri"/>
              </w:rPr>
              <w:t>Check when Complete</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Financial Aid Program Coordinator / Bursar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No Predecessor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8.001</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xml:space="preserve">Creating and Linking a Third-Party Contract to an </w:t>
            </w:r>
            <w:proofErr w:type="spellStart"/>
            <w:r w:rsidRPr="007F40F2">
              <w:rPr>
                <w:rFonts w:ascii="Calibri" w:hAnsi="Calibri"/>
              </w:rPr>
              <w:t>Account_Test</w:t>
            </w:r>
            <w:proofErr w:type="spellEnd"/>
            <w:r w:rsidRPr="007F40F2">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Bursar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8.001</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8.002</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xml:space="preserve">Processing a Third Party Payment for Multiple </w:t>
            </w:r>
            <w:proofErr w:type="spellStart"/>
            <w:r w:rsidRPr="007F40F2">
              <w:rPr>
                <w:rFonts w:ascii="Calibri" w:hAnsi="Calibri"/>
              </w:rPr>
              <w:t>Charges_Test</w:t>
            </w:r>
            <w:proofErr w:type="spellEnd"/>
            <w:r w:rsidRPr="007F40F2">
              <w:rPr>
                <w:rFonts w:ascii="Calibri" w:hAnsi="Calibri"/>
              </w:rPr>
              <w:t xml:space="preserve"> Script NEW.xlsx</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Bursar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8.002</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8.003</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xml:space="preserve">Assigning a Batch of Students to a Payment Plan or Third Party </w:t>
            </w:r>
            <w:proofErr w:type="spellStart"/>
            <w:r w:rsidRPr="007F40F2">
              <w:rPr>
                <w:rFonts w:ascii="Calibri" w:hAnsi="Calibri"/>
              </w:rPr>
              <w:t>Contract_Test</w:t>
            </w:r>
            <w:proofErr w:type="spellEnd"/>
            <w:r w:rsidRPr="007F40F2">
              <w:rPr>
                <w:rFonts w:ascii="Calibri" w:hAnsi="Calibri"/>
              </w:rPr>
              <w:t xml:space="preserve"> Script NEW.xlsx</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Bursar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8.003</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8.004</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xml:space="preserve">Recalculating a Third-Party </w:t>
            </w:r>
            <w:proofErr w:type="spellStart"/>
            <w:r w:rsidRPr="007F40F2">
              <w:rPr>
                <w:rFonts w:ascii="Calibri" w:hAnsi="Calibri"/>
              </w:rPr>
              <w:t>Contract_Test</w:t>
            </w:r>
            <w:proofErr w:type="spellEnd"/>
            <w:r w:rsidRPr="007F40F2">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Bursar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8.004</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8.005</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xml:space="preserve">Running the Payment </w:t>
            </w:r>
            <w:proofErr w:type="spellStart"/>
            <w:r w:rsidRPr="007F40F2">
              <w:rPr>
                <w:rFonts w:ascii="Calibri" w:hAnsi="Calibri"/>
              </w:rPr>
              <w:t>Applier_Test</w:t>
            </w:r>
            <w:proofErr w:type="spellEnd"/>
            <w:r w:rsidRPr="007F40F2">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Cashier / Bursar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8.005</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8.006</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xml:space="preserve">Creating and Viewing Billing </w:t>
            </w:r>
            <w:proofErr w:type="spellStart"/>
            <w:r w:rsidRPr="007F40F2">
              <w:rPr>
                <w:rFonts w:ascii="Calibri" w:hAnsi="Calibri"/>
              </w:rPr>
              <w:t>Information_Third</w:t>
            </w:r>
            <w:proofErr w:type="spellEnd"/>
            <w:r w:rsidRPr="007F40F2">
              <w:rPr>
                <w:rFonts w:ascii="Calibri" w:hAnsi="Calibri"/>
              </w:rPr>
              <w:t xml:space="preserve"> Party Sponsor </w:t>
            </w:r>
            <w:proofErr w:type="spellStart"/>
            <w:r w:rsidRPr="007F40F2">
              <w:rPr>
                <w:rFonts w:ascii="Calibri" w:hAnsi="Calibri"/>
              </w:rPr>
              <w:t>NEW_Test</w:t>
            </w:r>
            <w:proofErr w:type="spellEnd"/>
            <w:r w:rsidRPr="007F40F2">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Cashier / Bursar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R-192</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8.006</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8.007</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R-192 XML Single Student Account Test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r w:rsidR="007F40F2" w:rsidRPr="007F40F2" w:rsidTr="007F40F2">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Cashier</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8.007</w:t>
            </w:r>
          </w:p>
        </w:tc>
        <w:tc>
          <w:tcPr>
            <w:tcW w:w="124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8.008</w:t>
            </w:r>
          </w:p>
        </w:tc>
        <w:tc>
          <w:tcPr>
            <w:tcW w:w="5500" w:type="dxa"/>
            <w:tcBorders>
              <w:top w:val="nil"/>
              <w:left w:val="nil"/>
              <w:bottom w:val="single" w:sz="4" w:space="0" w:color="auto"/>
              <w:right w:val="single" w:sz="4" w:space="0" w:color="auto"/>
            </w:tcBorders>
            <w:shd w:val="clear" w:color="auto" w:fill="auto"/>
            <w:hideMark/>
          </w:tcPr>
          <w:p w:rsidR="007F40F2" w:rsidRPr="007F40F2" w:rsidRDefault="007F40F2" w:rsidP="007F40F2">
            <w:pPr>
              <w:overflowPunct/>
              <w:autoSpaceDE/>
              <w:autoSpaceDN/>
              <w:adjustRightInd/>
              <w:textAlignment w:val="auto"/>
              <w:rPr>
                <w:rFonts w:ascii="Calibri" w:hAnsi="Calibri"/>
              </w:rPr>
            </w:pPr>
            <w:r w:rsidRPr="007F40F2">
              <w:rPr>
                <w:rFonts w:ascii="Calibri" w:hAnsi="Calibri"/>
              </w:rPr>
              <w:t xml:space="preserve">Processing a Third Party Payment for One </w:t>
            </w:r>
            <w:proofErr w:type="spellStart"/>
            <w:r w:rsidRPr="007F40F2">
              <w:rPr>
                <w:rFonts w:ascii="Calibri" w:hAnsi="Calibri"/>
              </w:rPr>
              <w:t>Charge_Test</w:t>
            </w:r>
            <w:proofErr w:type="spellEnd"/>
            <w:r w:rsidRPr="007F40F2">
              <w:rPr>
                <w:rFonts w:ascii="Calibri" w:hAnsi="Calibri"/>
              </w:rPr>
              <w:t xml:space="preserve"> Script NEW.xlsx</w:t>
            </w:r>
          </w:p>
        </w:tc>
        <w:tc>
          <w:tcPr>
            <w:tcW w:w="1680" w:type="dxa"/>
            <w:tcBorders>
              <w:top w:val="nil"/>
              <w:left w:val="nil"/>
              <w:bottom w:val="single" w:sz="4" w:space="0" w:color="auto"/>
              <w:right w:val="single" w:sz="4" w:space="0" w:color="auto"/>
            </w:tcBorders>
            <w:shd w:val="clear" w:color="000000" w:fill="BFBFBF"/>
            <w:noWrap/>
            <w:vAlign w:val="bottom"/>
            <w:hideMark/>
          </w:tcPr>
          <w:p w:rsidR="007F40F2" w:rsidRPr="007F40F2" w:rsidRDefault="007F40F2" w:rsidP="007F40F2">
            <w:pPr>
              <w:overflowPunct/>
              <w:autoSpaceDE/>
              <w:autoSpaceDN/>
              <w:adjustRightInd/>
              <w:textAlignment w:val="auto"/>
              <w:rPr>
                <w:rFonts w:ascii="Calibri" w:hAnsi="Calibri"/>
                <w:sz w:val="22"/>
                <w:szCs w:val="22"/>
              </w:rPr>
            </w:pPr>
            <w:r w:rsidRPr="007F40F2">
              <w:rPr>
                <w:rFonts w:ascii="Calibri" w:hAnsi="Calibri"/>
                <w:sz w:val="22"/>
                <w:szCs w:val="22"/>
              </w:rPr>
              <w:t> </w:t>
            </w:r>
          </w:p>
        </w:tc>
      </w:tr>
    </w:tbl>
    <w:p w:rsidR="007F40F2" w:rsidRDefault="007F40F2" w:rsidP="008C6A90">
      <w:pPr>
        <w:pStyle w:val="BodyText"/>
      </w:pPr>
    </w:p>
    <w:sectPr w:rsidR="007F40F2"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7B" w:rsidRDefault="0047107B">
      <w:r>
        <w:separator/>
      </w:r>
    </w:p>
  </w:endnote>
  <w:endnote w:type="continuationSeparator" w:id="0">
    <w:p w:rsidR="0047107B" w:rsidRDefault="0047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AC2499">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D20050">
      <w:rPr>
        <w:rFonts w:ascii="Arial" w:hAnsi="Arial" w:cs="Arial"/>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7F40F2">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7F40F2">
      <w:rPr>
        <w:rFonts w:ascii="Arial" w:hAnsi="Arial" w:cs="Arial"/>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7B" w:rsidRDefault="0047107B">
      <w:r>
        <w:separator/>
      </w:r>
    </w:p>
  </w:footnote>
  <w:footnote w:type="continuationSeparator" w:id="0">
    <w:p w:rsidR="0047107B" w:rsidRDefault="00471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1526737B" wp14:editId="7F28F405">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612668D0" wp14:editId="198FDD4A">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107B"/>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0F2"/>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2499"/>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050"/>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54151731">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8E9C4-D6CA-49B6-9631-0F7FB70C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7</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3</cp:revision>
  <cp:lastPrinted>2015-06-11T23:46:00Z</cp:lastPrinted>
  <dcterms:created xsi:type="dcterms:W3CDTF">2015-06-12T01:07:00Z</dcterms:created>
  <dcterms:modified xsi:type="dcterms:W3CDTF">2015-06-12T01:07:00Z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